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9" w:rsidRPr="003D5E2D" w:rsidRDefault="006A5054" w:rsidP="00D22359">
      <w:pPr>
        <w:tabs>
          <w:tab w:val="left" w:pos="3675"/>
          <w:tab w:val="left" w:pos="5580"/>
          <w:tab w:val="right" w:pos="10260"/>
        </w:tabs>
        <w:spacing w:after="0"/>
        <w:ind w:left="1440" w:right="-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D22359" w:rsidRPr="003D5E2D" w:rsidRDefault="00D22359" w:rsidP="00D22359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2359" w:rsidRPr="003D5E2D" w:rsidRDefault="00D22359" w:rsidP="00D22359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22359" w:rsidRPr="003D5E2D" w:rsidRDefault="00D22359" w:rsidP="00D22359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D22359" w:rsidRPr="003D5E2D" w:rsidRDefault="00D22359" w:rsidP="00D22359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22359" w:rsidRPr="003D5E2D" w:rsidRDefault="00D22359" w:rsidP="00D22359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22359" w:rsidRPr="003D5E2D" w:rsidRDefault="00D22359" w:rsidP="00D22359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D22359" w:rsidRPr="003D5E2D" w:rsidRDefault="00BA3543" w:rsidP="00D22359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«26»  июля </w:t>
                  </w:r>
                  <w:r w:rsidR="00D22359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D22359" w:rsidRPr="003D5E2D" w:rsidRDefault="00BA3543" w:rsidP="00D22359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31</w:t>
                  </w:r>
                </w:p>
                <w:p w:rsidR="00D22359" w:rsidRDefault="00D22359" w:rsidP="00D22359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D22359" w:rsidRDefault="00D22359" w:rsidP="00D22359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59" w:rsidRDefault="00D22359" w:rsidP="00D22359">
      <w:pPr>
        <w:rPr>
          <w:sz w:val="24"/>
          <w:szCs w:val="24"/>
        </w:rPr>
      </w:pPr>
    </w:p>
    <w:p w:rsidR="00D22359" w:rsidRDefault="00D22359" w:rsidP="00D22359">
      <w:pPr>
        <w:spacing w:line="480" w:lineRule="auto"/>
        <w:rPr>
          <w:sz w:val="24"/>
          <w:szCs w:val="24"/>
        </w:rPr>
      </w:pPr>
    </w:p>
    <w:p w:rsidR="00D22359" w:rsidRDefault="00D22359" w:rsidP="00D22359">
      <w:pPr>
        <w:ind w:right="4875"/>
        <w:rPr>
          <w:b/>
          <w:sz w:val="24"/>
          <w:szCs w:val="24"/>
        </w:rPr>
      </w:pPr>
    </w:p>
    <w:p w:rsidR="00D22359" w:rsidRDefault="00D22359" w:rsidP="00D22359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D22359" w:rsidRPr="00FA5D16" w:rsidTr="0030653B">
        <w:tc>
          <w:tcPr>
            <w:tcW w:w="6096" w:type="dxa"/>
            <w:shd w:val="clear" w:color="auto" w:fill="auto"/>
          </w:tcPr>
          <w:p w:rsidR="00D22359" w:rsidRPr="003D5E2D" w:rsidRDefault="00D22359" w:rsidP="00306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сельского поселения Калиновка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D22359" w:rsidRDefault="00D22359" w:rsidP="00D22359">
      <w:pPr>
        <w:jc w:val="both"/>
        <w:rPr>
          <w:szCs w:val="28"/>
        </w:rPr>
      </w:pPr>
    </w:p>
    <w:p w:rsidR="00D22359" w:rsidRPr="003D5E2D" w:rsidRDefault="00D22359" w:rsidP="00D22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Калиновка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области, администрация сельского п</w:t>
      </w:r>
      <w:r>
        <w:rPr>
          <w:rFonts w:ascii="Times New Roman" w:hAnsi="Times New Roman" w:cs="Times New Roman"/>
          <w:sz w:val="28"/>
          <w:szCs w:val="28"/>
        </w:rPr>
        <w:t>оселения Калиновка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D22359" w:rsidRPr="003D5E2D" w:rsidRDefault="00D22359" w:rsidP="00D22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359" w:rsidRPr="003D5E2D" w:rsidRDefault="00D22359" w:rsidP="00D223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359" w:rsidRPr="003D5E2D" w:rsidRDefault="00D22359" w:rsidP="00D22359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Калиновка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D22359" w:rsidRPr="003D5E2D" w:rsidRDefault="00D22359" w:rsidP="00D223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сельского поселения Калиновка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Сергиевский № 38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>оложения о сообщении лицами, замещающими муниципальные должности и муниципальными служащими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Калиновка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22359" w:rsidRPr="003D5E2D" w:rsidRDefault="00D22359" w:rsidP="00D22359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D22359" w:rsidRPr="003D5E2D" w:rsidRDefault="00D22359" w:rsidP="00D223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22359" w:rsidRPr="003D5E2D" w:rsidRDefault="00D22359" w:rsidP="00D2235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2359" w:rsidRPr="003D5E2D" w:rsidRDefault="00D22359" w:rsidP="00D2235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D22359" w:rsidRPr="003D5E2D" w:rsidRDefault="00D22359" w:rsidP="00D2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359" w:rsidRPr="003D5E2D" w:rsidRDefault="00D22359" w:rsidP="00D2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Калиновка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22359" w:rsidRPr="003D5E2D" w:rsidRDefault="00D22359" w:rsidP="00D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С.В.Беспалов</w:t>
      </w:r>
    </w:p>
    <w:p w:rsidR="00D22359" w:rsidRPr="003D5E2D" w:rsidRDefault="00D22359" w:rsidP="00D2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Default="00D22359" w:rsidP="00D22359">
      <w:pPr>
        <w:jc w:val="both"/>
        <w:rPr>
          <w:szCs w:val="28"/>
        </w:rPr>
      </w:pPr>
    </w:p>
    <w:p w:rsidR="00D22359" w:rsidRPr="003D5E2D" w:rsidRDefault="00D22359" w:rsidP="00D223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D22359" w:rsidRPr="003D5E2D" w:rsidRDefault="00D22359" w:rsidP="00D223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D22359" w:rsidRPr="003D5E2D" w:rsidRDefault="00D22359" w:rsidP="00D223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Калиновка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2359" w:rsidRPr="003D5E2D" w:rsidRDefault="00D22359" w:rsidP="00D223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D22359" w:rsidRPr="003D5E2D" w:rsidRDefault="00BA3543" w:rsidP="00D223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«26» июля </w:t>
      </w:r>
      <w:r w:rsidR="00D22359"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</w:p>
    <w:p w:rsidR="00D22359" w:rsidRPr="003D5E2D" w:rsidRDefault="00D22359" w:rsidP="00D223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2359" w:rsidRPr="00C9271C" w:rsidRDefault="00D22359" w:rsidP="00D2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Калиновка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Калиновка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="006A5054" w:rsidRPr="006A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6A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подарок, полученный лицом, замещающим муниципальную должность,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Калиновка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положению, представляется не позднее 3 рабочих дней со дня получения подарка  в Администрацию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Калиновка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 имущества, основных средств, и из списания, а так же списания материальных ценностей (далее-комиссия).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 его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неизвестна, сдается ответственному лицу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Калиновка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 которое принимает его на хранение по акту приема-передачи (Приложение 2 к настоящему положению) не позднее 5 рабочих дней со дня регистрации уведомления в соответствующем журнале регистрации (Приложение 3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D22359" w:rsidRPr="003D5E2D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 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муниципальный служащий, сдавшие подарок, могут его выкупить, направив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соответствующее заявление не позднее двух месяцев со дня сдачи подарка.</w:t>
      </w:r>
      <w:proofErr w:type="gramEnd"/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Сергиевский в течение 3 месяцев со дня поступления заявления, указанного в </w:t>
      </w:r>
      <w:hyperlink r:id="rId10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Подарок, в отношении которого не поступило заявление, указанное в </w:t>
      </w:r>
      <w:hyperlink r:id="rId11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 настоящего положения, может использоваться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 учетом заключения комиссии о целесообразности использования подарка для обеспечения деятельности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нецелесообразности использования подарка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 </w:t>
      </w:r>
      <w:hyperlink r:id="rId12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Оценка стоимости подарка для реализации (выкупа), предусмотренная </w:t>
      </w:r>
      <w:hyperlink r:id="rId13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 и </w:t>
      </w:r>
      <w:hyperlink r:id="rId14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подарок не выкуплен или не реализован,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22359" w:rsidRPr="00AE3098" w:rsidRDefault="00D22359" w:rsidP="00D2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Средства, вырученные от реализации (выкупа) подарка, зачисляются в доход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в порядке, установленном </w:t>
      </w:r>
      <w:hyperlink r:id="rId16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22359" w:rsidRPr="00AE3098" w:rsidRDefault="00D22359" w:rsidP="00D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59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22359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D22359" w:rsidRPr="00AE3098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D22359" w:rsidRPr="00C9271C" w:rsidRDefault="00D22359" w:rsidP="00D223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D22359" w:rsidRPr="00C9271C" w:rsidRDefault="00D22359" w:rsidP="00D2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D22359" w:rsidRPr="00C9271C" w:rsidRDefault="00D22359" w:rsidP="00D223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D22359" w:rsidRPr="00926C87" w:rsidTr="0030653B">
        <w:tc>
          <w:tcPr>
            <w:tcW w:w="516" w:type="dxa"/>
            <w:shd w:val="clear" w:color="auto" w:fill="FFFFFF"/>
          </w:tcPr>
          <w:p w:rsidR="00D22359" w:rsidRPr="00926C87" w:rsidRDefault="00D22359" w:rsidP="003065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D22359" w:rsidRPr="00926C87" w:rsidTr="0030653B">
        <w:tc>
          <w:tcPr>
            <w:tcW w:w="516" w:type="dxa"/>
            <w:shd w:val="clear" w:color="auto" w:fill="FFFFFF"/>
          </w:tcPr>
          <w:p w:rsidR="00D22359" w:rsidRPr="00926C87" w:rsidRDefault="00D22359" w:rsidP="0030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59" w:rsidRPr="00926C87" w:rsidTr="0030653B">
        <w:tc>
          <w:tcPr>
            <w:tcW w:w="516" w:type="dxa"/>
            <w:shd w:val="clear" w:color="auto" w:fill="FFFFFF"/>
          </w:tcPr>
          <w:p w:rsidR="00D22359" w:rsidRPr="00926C87" w:rsidRDefault="00D22359" w:rsidP="0030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59" w:rsidRPr="00926C87" w:rsidTr="0030653B">
        <w:tc>
          <w:tcPr>
            <w:tcW w:w="516" w:type="dxa"/>
            <w:shd w:val="clear" w:color="auto" w:fill="FFFFFF"/>
          </w:tcPr>
          <w:p w:rsidR="00D22359" w:rsidRPr="00926C87" w:rsidRDefault="00D22359" w:rsidP="0030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59" w:rsidRPr="00926C87" w:rsidTr="0030653B">
        <w:tc>
          <w:tcPr>
            <w:tcW w:w="10566" w:type="dxa"/>
            <w:gridSpan w:val="5"/>
            <w:shd w:val="clear" w:color="auto" w:fill="FFFFFF"/>
          </w:tcPr>
          <w:p w:rsidR="00D22359" w:rsidRPr="00C9271C" w:rsidRDefault="00D22359" w:rsidP="0030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22359" w:rsidRPr="00C9271C" w:rsidRDefault="00D22359" w:rsidP="00D2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D22359" w:rsidRPr="00C9271C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D22359" w:rsidRPr="004D28AD" w:rsidRDefault="00D22359" w:rsidP="00D2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_____________________________</w:t>
      </w: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22359" w:rsidRPr="00AE3098" w:rsidRDefault="00D22359" w:rsidP="00D22359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</w:rPr>
      </w:pPr>
      <w:r w:rsidRPr="00AE3098">
        <w:rPr>
          <w:rStyle w:val="FontStyle21"/>
        </w:rPr>
        <w:t>Приложение 2</w:t>
      </w:r>
    </w:p>
    <w:p w:rsidR="00D22359" w:rsidRPr="00AE3098" w:rsidRDefault="00D22359" w:rsidP="00D22359">
      <w:pPr>
        <w:pStyle w:val="Style4"/>
        <w:widowControl/>
        <w:spacing w:line="269" w:lineRule="exact"/>
        <w:ind w:left="4147"/>
        <w:rPr>
          <w:rStyle w:val="FontStyle21"/>
          <w:b w:val="0"/>
        </w:rPr>
      </w:pPr>
      <w:r w:rsidRPr="00AE3098">
        <w:rPr>
          <w:rStyle w:val="FontStyle21"/>
        </w:rPr>
        <w:t xml:space="preserve">к Положению о сообщении </w:t>
      </w:r>
      <w:r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Pr="00AE3098">
        <w:rPr>
          <w:rStyle w:val="FontStyle21"/>
        </w:rPr>
        <w:t xml:space="preserve"> администрации </w:t>
      </w:r>
    </w:p>
    <w:p w:rsidR="00D22359" w:rsidRPr="00AE3098" w:rsidRDefault="00BA3543" w:rsidP="00D22359">
      <w:pPr>
        <w:pStyle w:val="Style4"/>
        <w:widowControl/>
        <w:spacing w:line="269" w:lineRule="exact"/>
        <w:ind w:left="4147"/>
        <w:rPr>
          <w:rStyle w:val="FontStyle21"/>
        </w:rPr>
      </w:pPr>
      <w:r>
        <w:rPr>
          <w:rStyle w:val="FontStyle21"/>
        </w:rPr>
        <w:t xml:space="preserve">сельского поселения Калиновка </w:t>
      </w:r>
      <w:r w:rsidR="00D22359" w:rsidRPr="00AE3098">
        <w:rPr>
          <w:rStyle w:val="FontStyle21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22359" w:rsidRPr="00DE12FD" w:rsidRDefault="00D22359" w:rsidP="00D22359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22359" w:rsidRPr="00AE3098" w:rsidRDefault="00D22359" w:rsidP="00D22359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22359" w:rsidRPr="00AE3098" w:rsidRDefault="00D22359" w:rsidP="00D22359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Pr="00AE3098">
        <w:rPr>
          <w:rStyle w:val="FontStyle21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>
        <w:rPr>
          <w:rStyle w:val="FontStyle20"/>
          <w:sz w:val="28"/>
          <w:szCs w:val="28"/>
        </w:rPr>
        <w:t xml:space="preserve">сельского поселения Калиновка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22359" w:rsidRPr="00DE12FD" w:rsidRDefault="00D22359" w:rsidP="00D22359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22359" w:rsidRDefault="00D22359" w:rsidP="00D2235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</w:rPr>
      </w:pPr>
      <w:r w:rsidRPr="00D464D2">
        <w:rPr>
          <w:rStyle w:val="FontStyle21"/>
        </w:rPr>
        <w:t>от «</w:t>
      </w:r>
      <w:r w:rsidRPr="00D464D2">
        <w:rPr>
          <w:rStyle w:val="FontStyle21"/>
        </w:rPr>
        <w:tab/>
        <w:t>»</w:t>
      </w:r>
      <w:r w:rsidRPr="00D464D2">
        <w:rPr>
          <w:rStyle w:val="FontStyle21"/>
        </w:rPr>
        <w:tab/>
        <w:t>20</w:t>
      </w:r>
      <w:r w:rsidRPr="00D464D2">
        <w:rPr>
          <w:rStyle w:val="FontStyle21"/>
        </w:rPr>
        <w:tab/>
        <w:t>г.</w:t>
      </w:r>
      <w:r w:rsidRPr="00D464D2">
        <w:rPr>
          <w:rStyle w:val="FontStyle21"/>
        </w:rPr>
        <w:tab/>
      </w:r>
      <w:r w:rsidRPr="00D464D2">
        <w:rPr>
          <w:rStyle w:val="FontStyle22"/>
        </w:rPr>
        <w:tab/>
      </w:r>
      <w:r>
        <w:rPr>
          <w:rStyle w:val="FontStyle22"/>
        </w:rPr>
        <w:t>№____</w:t>
      </w:r>
    </w:p>
    <w:p w:rsidR="00D22359" w:rsidRPr="00D464D2" w:rsidRDefault="00D22359" w:rsidP="00D2235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</w:rPr>
        <w:t>№</w:t>
      </w:r>
    </w:p>
    <w:p w:rsidR="00D22359" w:rsidRPr="00D464D2" w:rsidRDefault="00D22359" w:rsidP="00D22359">
      <w:pPr>
        <w:pStyle w:val="Style6"/>
        <w:widowControl/>
        <w:spacing w:before="48"/>
        <w:ind w:left="826"/>
        <w:jc w:val="left"/>
        <w:rPr>
          <w:rStyle w:val="FontStyle21"/>
          <w:b w:val="0"/>
        </w:rPr>
      </w:pPr>
      <w:r w:rsidRPr="00D464D2">
        <w:rPr>
          <w:rStyle w:val="FontStyle21"/>
        </w:rPr>
        <w:t>Мы,    нижеподписавшиеся,    составили    настоящий    акт    о    том,    что</w:t>
      </w:r>
    </w:p>
    <w:p w:rsidR="00D22359" w:rsidRPr="00D464D2" w:rsidRDefault="00D22359" w:rsidP="00D22359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</w:rPr>
      </w:pPr>
      <w:r w:rsidRPr="00D464D2">
        <w:rPr>
          <w:rStyle w:val="FontStyle21"/>
        </w:rPr>
        <w:tab/>
        <w:t>сдал (а),</w:t>
      </w:r>
    </w:p>
    <w:p w:rsidR="00D22359" w:rsidRPr="00D464D2" w:rsidRDefault="00D22359" w:rsidP="00D22359">
      <w:pPr>
        <w:pStyle w:val="Style6"/>
        <w:widowControl/>
        <w:jc w:val="left"/>
        <w:rPr>
          <w:rStyle w:val="FontStyle21"/>
          <w:b w:val="0"/>
        </w:rPr>
      </w:pPr>
      <w:r w:rsidRPr="00D464D2">
        <w:rPr>
          <w:rStyle w:val="FontStyle21"/>
        </w:rPr>
        <w:t>(Ф.И.О., занимаемая должность)</w:t>
      </w:r>
    </w:p>
    <w:p w:rsidR="00D22359" w:rsidRPr="00D464D2" w:rsidRDefault="00D22359" w:rsidP="00D22359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</w:rPr>
      </w:pPr>
      <w:r w:rsidRPr="00D464D2">
        <w:rPr>
          <w:rStyle w:val="FontStyle21"/>
        </w:rPr>
        <w:t>а</w:t>
      </w:r>
      <w:r w:rsidRPr="00D464D2">
        <w:rPr>
          <w:rStyle w:val="FontStyle21"/>
        </w:rPr>
        <w:tab/>
        <w:t>принял (а)</w:t>
      </w:r>
    </w:p>
    <w:p w:rsidR="00D22359" w:rsidRPr="00D464D2" w:rsidRDefault="00D22359" w:rsidP="00D22359">
      <w:pPr>
        <w:pStyle w:val="Style6"/>
        <w:widowControl/>
        <w:jc w:val="left"/>
        <w:rPr>
          <w:rStyle w:val="FontStyle21"/>
          <w:b w:val="0"/>
        </w:rPr>
      </w:pPr>
      <w:r w:rsidRPr="00D464D2">
        <w:rPr>
          <w:rStyle w:val="FontStyle21"/>
        </w:rPr>
        <w:t>(Ф.И.О., занимаемая должность)</w:t>
      </w:r>
    </w:p>
    <w:p w:rsidR="00D22359" w:rsidRPr="00D464D2" w:rsidRDefault="00D22359" w:rsidP="00D22359">
      <w:pPr>
        <w:pStyle w:val="Style6"/>
        <w:widowControl/>
        <w:spacing w:line="240" w:lineRule="exact"/>
        <w:jc w:val="left"/>
      </w:pPr>
    </w:p>
    <w:p w:rsidR="00D22359" w:rsidRDefault="00D22359" w:rsidP="00D22359">
      <w:pPr>
        <w:pStyle w:val="Style6"/>
        <w:widowControl/>
        <w:spacing w:before="48"/>
        <w:jc w:val="left"/>
        <w:rPr>
          <w:rStyle w:val="FontStyle21"/>
          <w:b w:val="0"/>
        </w:rPr>
      </w:pPr>
      <w:r w:rsidRPr="00D464D2">
        <w:rPr>
          <w:rStyle w:val="FontStyle21"/>
        </w:rPr>
        <w:t>на хранение следующие подарки: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22359" w:rsidTr="0030653B">
        <w:tc>
          <w:tcPr>
            <w:tcW w:w="675" w:type="dxa"/>
          </w:tcPr>
          <w:p w:rsidR="00D22359" w:rsidRPr="00D464D2" w:rsidRDefault="00D22359" w:rsidP="0030653B">
            <w:pPr>
              <w:pStyle w:val="Style6"/>
              <w:widowControl/>
              <w:spacing w:before="48"/>
              <w:rPr>
                <w:rStyle w:val="FontStyle21"/>
              </w:rPr>
            </w:pPr>
            <w:r w:rsidRPr="00D464D2">
              <w:rPr>
                <w:rStyle w:val="FontStyle21"/>
              </w:rPr>
              <w:t xml:space="preserve">№ </w:t>
            </w:r>
            <w:proofErr w:type="gramStart"/>
            <w:r w:rsidRPr="00D464D2">
              <w:rPr>
                <w:rStyle w:val="FontStyle21"/>
              </w:rPr>
              <w:t>п</w:t>
            </w:r>
            <w:proofErr w:type="gramEnd"/>
            <w:r w:rsidRPr="00D464D2">
              <w:rPr>
                <w:rStyle w:val="FontStyle21"/>
              </w:rPr>
              <w:t>/п</w:t>
            </w:r>
          </w:p>
        </w:tc>
        <w:tc>
          <w:tcPr>
            <w:tcW w:w="2552" w:type="dxa"/>
          </w:tcPr>
          <w:p w:rsidR="00D22359" w:rsidRPr="00D464D2" w:rsidRDefault="00D22359" w:rsidP="0030653B">
            <w:pPr>
              <w:pStyle w:val="Style6"/>
              <w:widowControl/>
              <w:spacing w:before="48"/>
              <w:rPr>
                <w:rStyle w:val="FontStyle21"/>
              </w:rPr>
            </w:pPr>
            <w:r w:rsidRPr="00D464D2">
              <w:rPr>
                <w:rStyle w:val="FontStyle21"/>
              </w:rPr>
              <w:t>Наименование подарка</w:t>
            </w:r>
          </w:p>
        </w:tc>
        <w:tc>
          <w:tcPr>
            <w:tcW w:w="2515" w:type="dxa"/>
          </w:tcPr>
          <w:p w:rsidR="00D22359" w:rsidRPr="00D464D2" w:rsidRDefault="00D22359" w:rsidP="0030653B">
            <w:pPr>
              <w:pStyle w:val="Style6"/>
              <w:widowControl/>
              <w:spacing w:before="48"/>
              <w:rPr>
                <w:rStyle w:val="FontStyle21"/>
              </w:rPr>
            </w:pPr>
            <w:r w:rsidRPr="00D464D2">
              <w:rPr>
                <w:rStyle w:val="FontStyle21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22359" w:rsidRPr="00D464D2" w:rsidRDefault="00D22359" w:rsidP="0030653B">
            <w:pPr>
              <w:pStyle w:val="Style6"/>
              <w:widowControl/>
              <w:spacing w:before="48"/>
              <w:rPr>
                <w:rStyle w:val="FontStyle21"/>
              </w:rPr>
            </w:pPr>
            <w:r w:rsidRPr="00D464D2">
              <w:rPr>
                <w:rStyle w:val="FontStyle21"/>
              </w:rPr>
              <w:t>Количество предметов</w:t>
            </w:r>
          </w:p>
        </w:tc>
        <w:tc>
          <w:tcPr>
            <w:tcW w:w="1915" w:type="dxa"/>
          </w:tcPr>
          <w:p w:rsidR="00D22359" w:rsidRPr="00D464D2" w:rsidRDefault="00D22359" w:rsidP="0030653B">
            <w:pPr>
              <w:pStyle w:val="Style6"/>
              <w:widowControl/>
              <w:spacing w:before="48"/>
              <w:rPr>
                <w:rStyle w:val="FontStyle21"/>
              </w:rPr>
            </w:pPr>
            <w:r w:rsidRPr="00D464D2">
              <w:rPr>
                <w:rStyle w:val="FontStyle21"/>
              </w:rPr>
              <w:t>Стоимость в рублях*</w:t>
            </w:r>
          </w:p>
        </w:tc>
      </w:tr>
      <w:tr w:rsidR="00D22359" w:rsidTr="0030653B">
        <w:tc>
          <w:tcPr>
            <w:tcW w:w="67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2552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251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1914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191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</w:tr>
      <w:tr w:rsidR="00D22359" w:rsidTr="0030653B">
        <w:tc>
          <w:tcPr>
            <w:tcW w:w="67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2552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251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1914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  <w:tc>
          <w:tcPr>
            <w:tcW w:w="1915" w:type="dxa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</w:p>
        </w:tc>
      </w:tr>
      <w:tr w:rsidR="00D22359" w:rsidTr="0030653B">
        <w:tc>
          <w:tcPr>
            <w:tcW w:w="9571" w:type="dxa"/>
            <w:gridSpan w:val="5"/>
          </w:tcPr>
          <w:p w:rsidR="00D22359" w:rsidRDefault="00D22359" w:rsidP="0030653B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Итого</w:t>
            </w:r>
          </w:p>
        </w:tc>
      </w:tr>
    </w:tbl>
    <w:p w:rsidR="00D22359" w:rsidRDefault="00D22359" w:rsidP="00D22359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</w:rPr>
      </w:pPr>
    </w:p>
    <w:p w:rsidR="00D22359" w:rsidRPr="00D464D2" w:rsidRDefault="00D22359" w:rsidP="00D22359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</w:rPr>
      </w:pPr>
      <w:r w:rsidRPr="00D464D2">
        <w:rPr>
          <w:rStyle w:val="FontStyle21"/>
        </w:rPr>
        <w:t>Приложение: 1.</w:t>
      </w:r>
      <w:r>
        <w:rPr>
          <w:rStyle w:val="FontStyle21"/>
        </w:rPr>
        <w:t>___________________________            _     _</w:t>
      </w:r>
      <w:r w:rsidRPr="00D464D2">
        <w:rPr>
          <w:rStyle w:val="FontStyle21"/>
        </w:rPr>
        <w:t>на</w:t>
      </w:r>
      <w:r w:rsidRPr="00D464D2">
        <w:rPr>
          <w:rStyle w:val="FontStyle21"/>
        </w:rPr>
        <w:tab/>
      </w:r>
      <w:r>
        <w:rPr>
          <w:rStyle w:val="FontStyle21"/>
        </w:rPr>
        <w:t xml:space="preserve">  </w:t>
      </w:r>
      <w:r w:rsidRPr="00D464D2">
        <w:rPr>
          <w:rStyle w:val="FontStyle21"/>
        </w:rPr>
        <w:t>листах.</w:t>
      </w:r>
    </w:p>
    <w:p w:rsidR="00D22359" w:rsidRPr="00D464D2" w:rsidRDefault="00D22359" w:rsidP="00D22359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</w:rPr>
      </w:pPr>
      <w:r w:rsidRPr="00D464D2">
        <w:rPr>
          <w:rStyle w:val="FontStyle21"/>
        </w:rPr>
        <w:t>(наименование документа)</w:t>
      </w:r>
    </w:p>
    <w:p w:rsidR="00D22359" w:rsidRPr="00D464D2" w:rsidRDefault="00D22359" w:rsidP="00D22359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</w:rPr>
      </w:pPr>
      <w:r w:rsidRPr="00D464D2">
        <w:rPr>
          <w:rStyle w:val="FontStyle21"/>
        </w:rPr>
        <w:t>2.</w:t>
      </w:r>
      <w:r w:rsidRPr="00D464D2">
        <w:rPr>
          <w:rStyle w:val="FontStyle21"/>
        </w:rPr>
        <w:tab/>
        <w:t>на</w:t>
      </w:r>
      <w:r w:rsidRPr="00D464D2">
        <w:rPr>
          <w:rStyle w:val="FontStyle21"/>
        </w:rPr>
        <w:tab/>
        <w:t>листах.</w:t>
      </w:r>
    </w:p>
    <w:p w:rsidR="00D22359" w:rsidRPr="00D464D2" w:rsidRDefault="00D22359" w:rsidP="00D22359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</w:rPr>
      </w:pPr>
      <w:r w:rsidRPr="00D464D2">
        <w:rPr>
          <w:rStyle w:val="FontStyle21"/>
        </w:rPr>
        <w:t>(наименование документа)</w:t>
      </w:r>
    </w:p>
    <w:p w:rsidR="00D22359" w:rsidRPr="00D464D2" w:rsidRDefault="00D22359" w:rsidP="00D22359">
      <w:pPr>
        <w:pStyle w:val="Style6"/>
        <w:widowControl/>
        <w:spacing w:line="240" w:lineRule="exact"/>
        <w:jc w:val="left"/>
      </w:pPr>
    </w:p>
    <w:p w:rsidR="00D22359" w:rsidRPr="00D464D2" w:rsidRDefault="00D22359" w:rsidP="00D22359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</w:rPr>
      </w:pPr>
      <w:r w:rsidRPr="00D464D2">
        <w:rPr>
          <w:rStyle w:val="FontStyle21"/>
        </w:rPr>
        <w:t>Сдал (а)</w:t>
      </w:r>
      <w:r w:rsidRPr="00D464D2">
        <w:rPr>
          <w:rStyle w:val="FontStyle21"/>
        </w:rPr>
        <w:tab/>
        <w:t>«</w:t>
      </w:r>
      <w:r w:rsidRPr="00D464D2">
        <w:rPr>
          <w:rStyle w:val="FontStyle21"/>
        </w:rPr>
        <w:tab/>
        <w:t>»</w:t>
      </w:r>
      <w:r w:rsidRPr="00D464D2">
        <w:rPr>
          <w:rStyle w:val="FontStyle21"/>
        </w:rPr>
        <w:tab/>
        <w:t>20_ г.</w:t>
      </w:r>
    </w:p>
    <w:p w:rsidR="00D22359" w:rsidRPr="00D464D2" w:rsidRDefault="00D22359" w:rsidP="00D22359">
      <w:pPr>
        <w:pStyle w:val="Style6"/>
        <w:widowControl/>
        <w:ind w:left="1478"/>
        <w:jc w:val="left"/>
        <w:rPr>
          <w:rStyle w:val="FontStyle21"/>
          <w:b w:val="0"/>
        </w:rPr>
      </w:pPr>
      <w:r w:rsidRPr="00D464D2">
        <w:rPr>
          <w:rStyle w:val="FontStyle21"/>
        </w:rPr>
        <w:t>(подпись)   (Ф.И.О.)</w:t>
      </w:r>
    </w:p>
    <w:p w:rsidR="00D22359" w:rsidRPr="00D464D2" w:rsidRDefault="00D22359" w:rsidP="00D22359">
      <w:pPr>
        <w:pStyle w:val="Style6"/>
        <w:widowControl/>
        <w:spacing w:line="240" w:lineRule="exact"/>
        <w:jc w:val="left"/>
      </w:pPr>
    </w:p>
    <w:p w:rsidR="00D22359" w:rsidRPr="00D464D2" w:rsidRDefault="00D22359" w:rsidP="00D22359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</w:rPr>
      </w:pPr>
      <w:r w:rsidRPr="00D464D2">
        <w:rPr>
          <w:rStyle w:val="FontStyle21"/>
        </w:rPr>
        <w:t>Принял (а)</w:t>
      </w:r>
      <w:r w:rsidRPr="00D464D2">
        <w:rPr>
          <w:rStyle w:val="FontStyle21"/>
        </w:rPr>
        <w:tab/>
        <w:t>«</w:t>
      </w:r>
      <w:r w:rsidRPr="00D464D2">
        <w:rPr>
          <w:rStyle w:val="FontStyle21"/>
        </w:rPr>
        <w:tab/>
        <w:t>»</w:t>
      </w:r>
      <w:r w:rsidRPr="00D464D2">
        <w:rPr>
          <w:rStyle w:val="FontStyle21"/>
        </w:rPr>
        <w:tab/>
        <w:t>20</w:t>
      </w:r>
      <w:r w:rsidRPr="00D464D2">
        <w:rPr>
          <w:rStyle w:val="FontStyle21"/>
        </w:rPr>
        <w:tab/>
        <w:t>г.</w:t>
      </w:r>
    </w:p>
    <w:p w:rsidR="00D22359" w:rsidRPr="00D464D2" w:rsidRDefault="00D22359" w:rsidP="00D22359">
      <w:pPr>
        <w:pStyle w:val="Style6"/>
        <w:widowControl/>
        <w:ind w:left="1478"/>
        <w:jc w:val="left"/>
        <w:rPr>
          <w:rStyle w:val="FontStyle21"/>
          <w:b w:val="0"/>
        </w:rPr>
      </w:pPr>
      <w:r w:rsidRPr="00D464D2">
        <w:rPr>
          <w:rStyle w:val="FontStyle21"/>
        </w:rPr>
        <w:t>(подпись)   (Ф.И.О.)</w:t>
      </w:r>
    </w:p>
    <w:p w:rsidR="00D22359" w:rsidRPr="00D464D2" w:rsidRDefault="00D22359" w:rsidP="00D22359">
      <w:pPr>
        <w:pStyle w:val="Style6"/>
        <w:widowControl/>
        <w:spacing w:line="240" w:lineRule="exact"/>
        <w:jc w:val="left"/>
      </w:pPr>
    </w:p>
    <w:p w:rsidR="00D22359" w:rsidRDefault="00D22359" w:rsidP="00D22359">
      <w:pPr>
        <w:pStyle w:val="Style6"/>
        <w:widowControl/>
        <w:spacing w:before="19"/>
        <w:jc w:val="left"/>
        <w:rPr>
          <w:rStyle w:val="FontStyle21"/>
          <w:b w:val="0"/>
        </w:rPr>
        <w:sectPr w:rsidR="00D22359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</w:rPr>
        <w:t>* Заполняется при наличии документов, подтверждающих стоимость подарка.</w:t>
      </w:r>
    </w:p>
    <w:p w:rsidR="00D22359" w:rsidRDefault="00D22359" w:rsidP="00D22359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22359" w:rsidRPr="00AE3098" w:rsidRDefault="00D22359" w:rsidP="00D22359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</w:rPr>
        <w:t xml:space="preserve">к Положению о сообщении </w:t>
      </w:r>
      <w:r w:rsidRPr="00AE3098">
        <w:rPr>
          <w:rFonts w:eastAsia="Times New Roman"/>
        </w:rPr>
        <w:t>лицами, замещающими муниципальные должности,</w:t>
      </w:r>
      <w:r w:rsidRPr="00AE3098">
        <w:rPr>
          <w:rFonts w:eastAsia="Times New Roman"/>
          <w:b/>
        </w:rPr>
        <w:t xml:space="preserve"> </w:t>
      </w:r>
      <w:r w:rsidRPr="00AE3098">
        <w:rPr>
          <w:rFonts w:eastAsia="Times New Roman"/>
        </w:rPr>
        <w:t>муниципальными служащими</w:t>
      </w:r>
      <w:r w:rsidRPr="00AE3098">
        <w:rPr>
          <w:rStyle w:val="FontStyle21"/>
        </w:rPr>
        <w:t xml:space="preserve"> администрации </w:t>
      </w:r>
      <w:r>
        <w:rPr>
          <w:rStyle w:val="FontStyle21"/>
        </w:rPr>
        <w:t>сельского поселения Калиновка</w:t>
      </w:r>
      <w:r w:rsidRPr="00AE3098">
        <w:rPr>
          <w:rStyle w:val="FontStyle21"/>
        </w:rPr>
        <w:t xml:space="preserve"> 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22359" w:rsidRDefault="00D22359" w:rsidP="00D22359">
      <w:pPr>
        <w:pStyle w:val="Style2"/>
        <w:widowControl/>
        <w:spacing w:line="240" w:lineRule="exact"/>
        <w:rPr>
          <w:sz w:val="20"/>
          <w:szCs w:val="20"/>
        </w:rPr>
      </w:pPr>
    </w:p>
    <w:p w:rsidR="00D22359" w:rsidRPr="00AE3098" w:rsidRDefault="00D22359" w:rsidP="00D22359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22359" w:rsidRPr="00AE3098" w:rsidRDefault="00D22359" w:rsidP="00D22359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</w:rPr>
      </w:pPr>
      <w:r w:rsidRPr="00AE3098">
        <w:rPr>
          <w:rStyle w:val="FontStyle20"/>
        </w:rPr>
        <w:t xml:space="preserve">регистрации уведомлений </w:t>
      </w:r>
      <w:r w:rsidRPr="00AE3098">
        <w:rPr>
          <w:rFonts w:eastAsia="Times New Roman"/>
        </w:rPr>
        <w:t>лиц, замещающих муниципальные должности, муниципальных служащих</w:t>
      </w:r>
      <w:r w:rsidRPr="00AE3098">
        <w:rPr>
          <w:rStyle w:val="FontStyle21"/>
        </w:rPr>
        <w:t xml:space="preserve"> </w:t>
      </w:r>
      <w:r w:rsidRPr="00AE3098">
        <w:rPr>
          <w:rStyle w:val="FontStyle20"/>
        </w:rPr>
        <w:t xml:space="preserve">администрации </w:t>
      </w:r>
      <w:r>
        <w:rPr>
          <w:rStyle w:val="FontStyle20"/>
        </w:rPr>
        <w:t xml:space="preserve">сельского поселения Калиновка </w:t>
      </w:r>
      <w:r w:rsidRPr="00AE3098">
        <w:rPr>
          <w:rStyle w:val="FontStyle20"/>
        </w:rPr>
        <w:t>муниципального района Сергиевский Самарской</w:t>
      </w:r>
      <w:r w:rsidRPr="00AE3098">
        <w:rPr>
          <w:rStyle w:val="FontStyle20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</w:rPr>
        <w:br/>
      </w:r>
      <w:r w:rsidRPr="00AE3098">
        <w:rPr>
          <w:rStyle w:val="FontStyle20"/>
          <w:u w:val="single"/>
        </w:rPr>
        <w:t>официальными мероприятиями</w:t>
      </w: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D22359" w:rsidTr="0030653B">
        <w:trPr>
          <w:trHeight w:val="269"/>
        </w:trPr>
        <w:tc>
          <w:tcPr>
            <w:tcW w:w="534" w:type="dxa"/>
            <w:vMerge w:val="restart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D22359" w:rsidRDefault="00D22359" w:rsidP="0030653B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D22359" w:rsidRDefault="00D22359" w:rsidP="0030653B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D22359" w:rsidTr="0030653B">
        <w:trPr>
          <w:trHeight w:val="168"/>
        </w:trPr>
        <w:tc>
          <w:tcPr>
            <w:tcW w:w="534" w:type="dxa"/>
            <w:vMerge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D22359" w:rsidTr="0030653B">
        <w:trPr>
          <w:trHeight w:val="269"/>
        </w:trPr>
        <w:tc>
          <w:tcPr>
            <w:tcW w:w="53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D22359" w:rsidTr="0030653B">
        <w:trPr>
          <w:trHeight w:val="269"/>
        </w:trPr>
        <w:tc>
          <w:tcPr>
            <w:tcW w:w="53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D22359" w:rsidTr="0030653B">
        <w:trPr>
          <w:trHeight w:val="292"/>
        </w:trPr>
        <w:tc>
          <w:tcPr>
            <w:tcW w:w="53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D22359" w:rsidRDefault="00D22359" w:rsidP="0030653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22359" w:rsidRDefault="00D22359" w:rsidP="00D22359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CE7D1C" w:rsidRDefault="00CE7D1C"/>
    <w:sectPr w:rsidR="00CE7D1C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59"/>
    <w:rsid w:val="00183DCC"/>
    <w:rsid w:val="00261461"/>
    <w:rsid w:val="006A5054"/>
    <w:rsid w:val="00BA3543"/>
    <w:rsid w:val="00CE7D1C"/>
    <w:rsid w:val="00D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235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23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235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23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235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2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2235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223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22359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22359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2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2017-07-26T10:46:00Z</cp:lastPrinted>
  <dcterms:created xsi:type="dcterms:W3CDTF">2017-07-26T10:18:00Z</dcterms:created>
  <dcterms:modified xsi:type="dcterms:W3CDTF">2017-07-27T05:29:00Z</dcterms:modified>
</cp:coreProperties>
</file>